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bookmarkStart w:id="20" w:name="_GoBack"/>
      <w:bookmarkEnd w:id="2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318平泉市财政局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855.04</w:t>
            </w:r>
          </w:p>
        </w:tc>
        <w:tc>
          <w:tcPr>
            <w:tcW w:w="4535" w:type="dxa"/>
            <w:vAlign w:val="center"/>
          </w:tcPr>
          <w:p>
            <w:pPr>
              <w:pStyle w:val="13"/>
            </w:pPr>
            <w:r>
              <w:t>一、一般公共服务支出</w:t>
            </w:r>
          </w:p>
        </w:tc>
        <w:tc>
          <w:tcPr>
            <w:tcW w:w="2126" w:type="dxa"/>
            <w:vAlign w:val="center"/>
          </w:tcPr>
          <w:p>
            <w:pPr>
              <w:pStyle w:val="12"/>
            </w:pPr>
            <w:r>
              <w:t>601.40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855.04</w:t>
            </w:r>
          </w:p>
        </w:tc>
        <w:tc>
          <w:tcPr>
            <w:tcW w:w="4535" w:type="dxa"/>
            <w:vAlign w:val="center"/>
          </w:tcPr>
          <w:p>
            <w:pPr>
              <w:pStyle w:val="15"/>
            </w:pPr>
            <w:r>
              <w:t>本年支出合计</w:t>
            </w:r>
          </w:p>
        </w:tc>
        <w:tc>
          <w:tcPr>
            <w:tcW w:w="2126" w:type="dxa"/>
            <w:vAlign w:val="center"/>
          </w:tcPr>
          <w:p>
            <w:pPr>
              <w:pStyle w:val="16"/>
            </w:pPr>
            <w:r>
              <w:t>855.04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855.04</w:t>
            </w:r>
          </w:p>
        </w:tc>
        <w:tc>
          <w:tcPr>
            <w:tcW w:w="4535" w:type="dxa"/>
            <w:vAlign w:val="center"/>
          </w:tcPr>
          <w:p>
            <w:pPr>
              <w:pStyle w:val="15"/>
            </w:pPr>
            <w:r>
              <w:t>支出总计</w:t>
            </w:r>
          </w:p>
        </w:tc>
        <w:tc>
          <w:tcPr>
            <w:tcW w:w="2126" w:type="dxa"/>
            <w:vAlign w:val="center"/>
          </w:tcPr>
          <w:p>
            <w:pPr>
              <w:pStyle w:val="16"/>
            </w:pPr>
            <w:r>
              <w:t>855.04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318平泉市财政局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855.04</w:t>
            </w:r>
          </w:p>
        </w:tc>
        <w:tc>
          <w:tcPr>
            <w:tcW w:w="1134" w:type="dxa"/>
            <w:vAlign w:val="center"/>
          </w:tcPr>
          <w:p>
            <w:pPr>
              <w:pStyle w:val="16"/>
            </w:pPr>
            <w:r>
              <w:t>855.04</w:t>
            </w:r>
          </w:p>
        </w:tc>
        <w:tc>
          <w:tcPr>
            <w:tcW w:w="1134" w:type="dxa"/>
            <w:vAlign w:val="center"/>
          </w:tcPr>
          <w:p>
            <w:pPr>
              <w:pStyle w:val="16"/>
            </w:pPr>
            <w:r>
              <w:t>855.04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r>
              <w:t>601.40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144.38</w:t>
            </w:r>
          </w:p>
        </w:tc>
        <w:tc>
          <w:tcPr>
            <w:tcW w:w="1134" w:type="dxa"/>
            <w:vAlign w:val="center"/>
          </w:tcPr>
          <w:p>
            <w:pPr>
              <w:pStyle w:val="12"/>
            </w:pPr>
            <w:r>
              <w:t>144.38</w:t>
            </w:r>
          </w:p>
        </w:tc>
        <w:tc>
          <w:tcPr>
            <w:tcW w:w="1134" w:type="dxa"/>
            <w:vAlign w:val="center"/>
          </w:tcPr>
          <w:p>
            <w:pPr>
              <w:pStyle w:val="12"/>
            </w:pPr>
            <w:r>
              <w:t>144.38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144.38</w:t>
            </w:r>
          </w:p>
        </w:tc>
        <w:tc>
          <w:tcPr>
            <w:tcW w:w="1134" w:type="dxa"/>
            <w:vAlign w:val="center"/>
          </w:tcPr>
          <w:p>
            <w:pPr>
              <w:pStyle w:val="12"/>
            </w:pPr>
            <w:r>
              <w:t>144.38</w:t>
            </w:r>
          </w:p>
        </w:tc>
        <w:tc>
          <w:tcPr>
            <w:tcW w:w="1134" w:type="dxa"/>
            <w:vAlign w:val="center"/>
          </w:tcPr>
          <w:p>
            <w:pPr>
              <w:pStyle w:val="12"/>
            </w:pPr>
            <w:r>
              <w:t>144.38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66.27</w:t>
            </w:r>
          </w:p>
        </w:tc>
        <w:tc>
          <w:tcPr>
            <w:tcW w:w="1134" w:type="dxa"/>
            <w:vAlign w:val="center"/>
          </w:tcPr>
          <w:p>
            <w:pPr>
              <w:pStyle w:val="12"/>
            </w:pPr>
            <w:r>
              <w:t>66.27</w:t>
            </w:r>
          </w:p>
        </w:tc>
        <w:tc>
          <w:tcPr>
            <w:tcW w:w="1134" w:type="dxa"/>
            <w:vAlign w:val="center"/>
          </w:tcPr>
          <w:p>
            <w:pPr>
              <w:pStyle w:val="12"/>
            </w:pPr>
            <w:r>
              <w:t>66.27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78.11</w:t>
            </w:r>
          </w:p>
        </w:tc>
        <w:tc>
          <w:tcPr>
            <w:tcW w:w="1134" w:type="dxa"/>
            <w:vAlign w:val="center"/>
          </w:tcPr>
          <w:p>
            <w:pPr>
              <w:pStyle w:val="12"/>
            </w:pPr>
            <w:r>
              <w:t>78.11</w:t>
            </w:r>
          </w:p>
        </w:tc>
        <w:tc>
          <w:tcPr>
            <w:tcW w:w="1134" w:type="dxa"/>
            <w:vAlign w:val="center"/>
          </w:tcPr>
          <w:p>
            <w:pPr>
              <w:pStyle w:val="12"/>
            </w:pPr>
            <w:r>
              <w:t>78.11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38.82</w:t>
            </w:r>
          </w:p>
        </w:tc>
        <w:tc>
          <w:tcPr>
            <w:tcW w:w="1134" w:type="dxa"/>
            <w:vAlign w:val="center"/>
          </w:tcPr>
          <w:p>
            <w:pPr>
              <w:pStyle w:val="12"/>
            </w:pPr>
            <w:r>
              <w:t>38.82</w:t>
            </w:r>
          </w:p>
        </w:tc>
        <w:tc>
          <w:tcPr>
            <w:tcW w:w="1134" w:type="dxa"/>
            <w:vAlign w:val="center"/>
          </w:tcPr>
          <w:p>
            <w:pPr>
              <w:pStyle w:val="12"/>
            </w:pPr>
            <w:r>
              <w:t>38.82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38.82</w:t>
            </w:r>
          </w:p>
        </w:tc>
        <w:tc>
          <w:tcPr>
            <w:tcW w:w="1134" w:type="dxa"/>
            <w:vAlign w:val="center"/>
          </w:tcPr>
          <w:p>
            <w:pPr>
              <w:pStyle w:val="12"/>
            </w:pPr>
            <w:r>
              <w:t>38.82</w:t>
            </w:r>
          </w:p>
        </w:tc>
        <w:tc>
          <w:tcPr>
            <w:tcW w:w="1134" w:type="dxa"/>
            <w:vAlign w:val="center"/>
          </w:tcPr>
          <w:p>
            <w:pPr>
              <w:pStyle w:val="12"/>
            </w:pPr>
            <w:r>
              <w:t>38.82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34.63</w:t>
            </w:r>
          </w:p>
        </w:tc>
        <w:tc>
          <w:tcPr>
            <w:tcW w:w="1134" w:type="dxa"/>
            <w:vAlign w:val="center"/>
          </w:tcPr>
          <w:p>
            <w:pPr>
              <w:pStyle w:val="12"/>
            </w:pPr>
            <w:r>
              <w:t>34.63</w:t>
            </w:r>
          </w:p>
        </w:tc>
        <w:tc>
          <w:tcPr>
            <w:tcW w:w="1134" w:type="dxa"/>
            <w:vAlign w:val="center"/>
          </w:tcPr>
          <w:p>
            <w:pPr>
              <w:pStyle w:val="12"/>
            </w:pPr>
            <w:r>
              <w:t>34.63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r>
              <w:t>60.44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855.04</w:t>
            </w:r>
          </w:p>
        </w:tc>
        <w:tc>
          <w:tcPr>
            <w:tcW w:w="1361" w:type="dxa"/>
            <w:vAlign w:val="center"/>
          </w:tcPr>
          <w:p>
            <w:pPr>
              <w:pStyle w:val="16"/>
            </w:pPr>
            <w:r>
              <w:t>845.04</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601.40</w:t>
            </w:r>
          </w:p>
        </w:tc>
        <w:tc>
          <w:tcPr>
            <w:tcW w:w="1361" w:type="dxa"/>
            <w:vAlign w:val="center"/>
          </w:tcPr>
          <w:p>
            <w:pPr>
              <w:pStyle w:val="12"/>
            </w:pPr>
            <w:r>
              <w:t>601.40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601.40</w:t>
            </w:r>
          </w:p>
        </w:tc>
        <w:tc>
          <w:tcPr>
            <w:tcW w:w="1361" w:type="dxa"/>
            <w:vAlign w:val="center"/>
          </w:tcPr>
          <w:p>
            <w:pPr>
              <w:pStyle w:val="12"/>
            </w:pPr>
            <w:r>
              <w:t>601.40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601.40</w:t>
            </w:r>
          </w:p>
        </w:tc>
        <w:tc>
          <w:tcPr>
            <w:tcW w:w="1361" w:type="dxa"/>
            <w:vAlign w:val="center"/>
          </w:tcPr>
          <w:p>
            <w:pPr>
              <w:pStyle w:val="12"/>
            </w:pPr>
            <w:r>
              <w:t>601.40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144.38</w:t>
            </w:r>
          </w:p>
        </w:tc>
        <w:tc>
          <w:tcPr>
            <w:tcW w:w="1361" w:type="dxa"/>
            <w:vAlign w:val="center"/>
          </w:tcPr>
          <w:p>
            <w:pPr>
              <w:pStyle w:val="12"/>
            </w:pPr>
            <w:r>
              <w:t>144.38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144.38</w:t>
            </w:r>
          </w:p>
        </w:tc>
        <w:tc>
          <w:tcPr>
            <w:tcW w:w="1361" w:type="dxa"/>
            <w:vAlign w:val="center"/>
          </w:tcPr>
          <w:p>
            <w:pPr>
              <w:pStyle w:val="12"/>
            </w:pPr>
            <w:r>
              <w:t>144.38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66.27</w:t>
            </w:r>
          </w:p>
        </w:tc>
        <w:tc>
          <w:tcPr>
            <w:tcW w:w="1361" w:type="dxa"/>
            <w:vAlign w:val="center"/>
          </w:tcPr>
          <w:p>
            <w:pPr>
              <w:pStyle w:val="12"/>
            </w:pPr>
            <w:r>
              <w:t>66.27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78.11</w:t>
            </w:r>
          </w:p>
        </w:tc>
        <w:tc>
          <w:tcPr>
            <w:tcW w:w="1361" w:type="dxa"/>
            <w:vAlign w:val="center"/>
          </w:tcPr>
          <w:p>
            <w:pPr>
              <w:pStyle w:val="12"/>
            </w:pPr>
            <w:r>
              <w:t>78.11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38.82</w:t>
            </w:r>
          </w:p>
        </w:tc>
        <w:tc>
          <w:tcPr>
            <w:tcW w:w="1361" w:type="dxa"/>
            <w:vAlign w:val="center"/>
          </w:tcPr>
          <w:p>
            <w:pPr>
              <w:pStyle w:val="12"/>
            </w:pPr>
            <w:r>
              <w:t>38.82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38.82</w:t>
            </w:r>
          </w:p>
        </w:tc>
        <w:tc>
          <w:tcPr>
            <w:tcW w:w="1361" w:type="dxa"/>
            <w:vAlign w:val="center"/>
          </w:tcPr>
          <w:p>
            <w:pPr>
              <w:pStyle w:val="12"/>
            </w:pPr>
            <w:r>
              <w:t>38.82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34.63</w:t>
            </w:r>
          </w:p>
        </w:tc>
        <w:tc>
          <w:tcPr>
            <w:tcW w:w="1361" w:type="dxa"/>
            <w:vAlign w:val="center"/>
          </w:tcPr>
          <w:p>
            <w:pPr>
              <w:pStyle w:val="12"/>
            </w:pPr>
            <w:r>
              <w:t>34.63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4.19</w:t>
            </w:r>
          </w:p>
        </w:tc>
        <w:tc>
          <w:tcPr>
            <w:tcW w:w="1361" w:type="dxa"/>
            <w:vAlign w:val="center"/>
          </w:tcPr>
          <w:p>
            <w:pPr>
              <w:pStyle w:val="12"/>
            </w:pPr>
            <w:r>
              <w:t>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60.44</w:t>
            </w:r>
          </w:p>
        </w:tc>
        <w:tc>
          <w:tcPr>
            <w:tcW w:w="1361" w:type="dxa"/>
            <w:vAlign w:val="center"/>
          </w:tcPr>
          <w:p>
            <w:pPr>
              <w:pStyle w:val="12"/>
            </w:pPr>
            <w:r>
              <w:t>60.44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60.44</w:t>
            </w:r>
          </w:p>
        </w:tc>
        <w:tc>
          <w:tcPr>
            <w:tcW w:w="1361" w:type="dxa"/>
            <w:vAlign w:val="center"/>
          </w:tcPr>
          <w:p>
            <w:pPr>
              <w:pStyle w:val="12"/>
            </w:pPr>
            <w:r>
              <w:t>60.44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60.44</w:t>
            </w:r>
          </w:p>
        </w:tc>
        <w:tc>
          <w:tcPr>
            <w:tcW w:w="1361" w:type="dxa"/>
            <w:vAlign w:val="center"/>
          </w:tcPr>
          <w:p>
            <w:pPr>
              <w:pStyle w:val="12"/>
            </w:pPr>
            <w:r>
              <w:t>60.44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855.04</w:t>
            </w:r>
          </w:p>
        </w:tc>
        <w:tc>
          <w:tcPr>
            <w:tcW w:w="3402" w:type="dxa"/>
            <w:vAlign w:val="center"/>
          </w:tcPr>
          <w:p>
            <w:pPr>
              <w:pStyle w:val="13"/>
            </w:pPr>
            <w:r>
              <w:t>一、一般公共服务支出</w:t>
            </w:r>
          </w:p>
        </w:tc>
        <w:tc>
          <w:tcPr>
            <w:tcW w:w="1474" w:type="dxa"/>
            <w:vAlign w:val="center"/>
          </w:tcPr>
          <w:p>
            <w:pPr>
              <w:pStyle w:val="12"/>
            </w:pPr>
            <w:r>
              <w:t>601.40</w:t>
            </w:r>
          </w:p>
        </w:tc>
        <w:tc>
          <w:tcPr>
            <w:tcW w:w="1474" w:type="dxa"/>
            <w:vAlign w:val="center"/>
          </w:tcPr>
          <w:p>
            <w:pPr>
              <w:pStyle w:val="12"/>
            </w:pPr>
            <w:r>
              <w:t>601.40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144.38</w:t>
            </w:r>
          </w:p>
        </w:tc>
        <w:tc>
          <w:tcPr>
            <w:tcW w:w="1474" w:type="dxa"/>
            <w:vAlign w:val="center"/>
          </w:tcPr>
          <w:p>
            <w:pPr>
              <w:pStyle w:val="12"/>
            </w:pPr>
            <w:r>
              <w:t>144.38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38.82</w:t>
            </w:r>
          </w:p>
        </w:tc>
        <w:tc>
          <w:tcPr>
            <w:tcW w:w="1474" w:type="dxa"/>
            <w:vAlign w:val="center"/>
          </w:tcPr>
          <w:p>
            <w:pPr>
              <w:pStyle w:val="12"/>
            </w:pPr>
            <w:r>
              <w:t>38.82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60.44</w:t>
            </w:r>
          </w:p>
        </w:tc>
        <w:tc>
          <w:tcPr>
            <w:tcW w:w="1474" w:type="dxa"/>
            <w:vAlign w:val="center"/>
          </w:tcPr>
          <w:p>
            <w:pPr>
              <w:pStyle w:val="12"/>
            </w:pPr>
            <w:r>
              <w:t>60.44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855.04</w:t>
            </w:r>
          </w:p>
        </w:tc>
        <w:tc>
          <w:tcPr>
            <w:tcW w:w="3402" w:type="dxa"/>
            <w:vAlign w:val="center"/>
          </w:tcPr>
          <w:p>
            <w:pPr>
              <w:pStyle w:val="15"/>
            </w:pPr>
            <w:r>
              <w:t>本年支出合计</w:t>
            </w:r>
          </w:p>
        </w:tc>
        <w:tc>
          <w:tcPr>
            <w:tcW w:w="1474" w:type="dxa"/>
            <w:vAlign w:val="center"/>
          </w:tcPr>
          <w:p>
            <w:pPr>
              <w:pStyle w:val="16"/>
            </w:pPr>
            <w:r>
              <w:t>855.04</w:t>
            </w:r>
          </w:p>
        </w:tc>
        <w:tc>
          <w:tcPr>
            <w:tcW w:w="1474" w:type="dxa"/>
            <w:vAlign w:val="center"/>
          </w:tcPr>
          <w:p>
            <w:pPr>
              <w:pStyle w:val="16"/>
            </w:pPr>
            <w:r>
              <w:t>855.04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855.04</w:t>
            </w:r>
          </w:p>
        </w:tc>
        <w:tc>
          <w:tcPr>
            <w:tcW w:w="3402" w:type="dxa"/>
            <w:vAlign w:val="center"/>
          </w:tcPr>
          <w:p>
            <w:pPr>
              <w:pStyle w:val="15"/>
            </w:pPr>
            <w:r>
              <w:t>支出总计</w:t>
            </w:r>
          </w:p>
        </w:tc>
        <w:tc>
          <w:tcPr>
            <w:tcW w:w="1474" w:type="dxa"/>
            <w:vAlign w:val="center"/>
          </w:tcPr>
          <w:p>
            <w:pPr>
              <w:pStyle w:val="16"/>
            </w:pPr>
            <w:r>
              <w:t>855.04</w:t>
            </w:r>
          </w:p>
        </w:tc>
        <w:tc>
          <w:tcPr>
            <w:tcW w:w="1474" w:type="dxa"/>
            <w:vAlign w:val="center"/>
          </w:tcPr>
          <w:p>
            <w:pPr>
              <w:pStyle w:val="16"/>
            </w:pPr>
            <w:r>
              <w:t>855.04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855.04</w:t>
            </w:r>
          </w:p>
        </w:tc>
        <w:tc>
          <w:tcPr>
            <w:tcW w:w="2551" w:type="dxa"/>
            <w:vAlign w:val="center"/>
          </w:tcPr>
          <w:p>
            <w:pPr>
              <w:pStyle w:val="16"/>
            </w:pPr>
            <w:r>
              <w:t>845.04</w:t>
            </w: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601.40</w:t>
            </w:r>
          </w:p>
        </w:tc>
        <w:tc>
          <w:tcPr>
            <w:tcW w:w="2551" w:type="dxa"/>
            <w:vAlign w:val="center"/>
          </w:tcPr>
          <w:p>
            <w:pPr>
              <w:pStyle w:val="12"/>
            </w:pPr>
            <w:r>
              <w:t>601.40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601.40</w:t>
            </w:r>
          </w:p>
        </w:tc>
        <w:tc>
          <w:tcPr>
            <w:tcW w:w="2551" w:type="dxa"/>
            <w:vAlign w:val="center"/>
          </w:tcPr>
          <w:p>
            <w:pPr>
              <w:pStyle w:val="12"/>
            </w:pPr>
            <w:r>
              <w:t>601.40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601.40</w:t>
            </w:r>
          </w:p>
        </w:tc>
        <w:tc>
          <w:tcPr>
            <w:tcW w:w="2551" w:type="dxa"/>
            <w:vAlign w:val="center"/>
          </w:tcPr>
          <w:p>
            <w:pPr>
              <w:pStyle w:val="12"/>
            </w:pPr>
            <w:r>
              <w:t>601.40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144.38</w:t>
            </w:r>
          </w:p>
        </w:tc>
        <w:tc>
          <w:tcPr>
            <w:tcW w:w="2551" w:type="dxa"/>
            <w:vAlign w:val="center"/>
          </w:tcPr>
          <w:p>
            <w:pPr>
              <w:pStyle w:val="12"/>
            </w:pPr>
            <w:r>
              <w:t>144.38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144.38</w:t>
            </w:r>
          </w:p>
        </w:tc>
        <w:tc>
          <w:tcPr>
            <w:tcW w:w="2551" w:type="dxa"/>
            <w:vAlign w:val="center"/>
          </w:tcPr>
          <w:p>
            <w:pPr>
              <w:pStyle w:val="12"/>
            </w:pPr>
            <w:r>
              <w:t>144.38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66.27</w:t>
            </w:r>
          </w:p>
        </w:tc>
        <w:tc>
          <w:tcPr>
            <w:tcW w:w="2551" w:type="dxa"/>
            <w:vAlign w:val="center"/>
          </w:tcPr>
          <w:p>
            <w:pPr>
              <w:pStyle w:val="12"/>
            </w:pPr>
            <w:r>
              <w:t>66.27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78.11</w:t>
            </w:r>
          </w:p>
        </w:tc>
        <w:tc>
          <w:tcPr>
            <w:tcW w:w="2551" w:type="dxa"/>
            <w:vAlign w:val="center"/>
          </w:tcPr>
          <w:p>
            <w:pPr>
              <w:pStyle w:val="12"/>
            </w:pPr>
            <w:r>
              <w:t>78.11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38.82</w:t>
            </w:r>
          </w:p>
        </w:tc>
        <w:tc>
          <w:tcPr>
            <w:tcW w:w="2551" w:type="dxa"/>
            <w:vAlign w:val="center"/>
          </w:tcPr>
          <w:p>
            <w:pPr>
              <w:pStyle w:val="12"/>
            </w:pPr>
            <w:r>
              <w:t>38.82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38.82</w:t>
            </w:r>
          </w:p>
        </w:tc>
        <w:tc>
          <w:tcPr>
            <w:tcW w:w="2551" w:type="dxa"/>
            <w:vAlign w:val="center"/>
          </w:tcPr>
          <w:p>
            <w:pPr>
              <w:pStyle w:val="12"/>
            </w:pPr>
            <w:r>
              <w:t>38.82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34.63</w:t>
            </w:r>
          </w:p>
        </w:tc>
        <w:tc>
          <w:tcPr>
            <w:tcW w:w="2551" w:type="dxa"/>
            <w:vAlign w:val="center"/>
          </w:tcPr>
          <w:p>
            <w:pPr>
              <w:pStyle w:val="12"/>
            </w:pPr>
            <w:r>
              <w:t>34.63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60.44</w:t>
            </w:r>
          </w:p>
        </w:tc>
        <w:tc>
          <w:tcPr>
            <w:tcW w:w="2551" w:type="dxa"/>
            <w:vAlign w:val="center"/>
          </w:tcPr>
          <w:p>
            <w:pPr>
              <w:pStyle w:val="12"/>
            </w:pPr>
            <w:r>
              <w:t>60.44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60.44</w:t>
            </w:r>
          </w:p>
        </w:tc>
        <w:tc>
          <w:tcPr>
            <w:tcW w:w="2551" w:type="dxa"/>
            <w:vAlign w:val="center"/>
          </w:tcPr>
          <w:p>
            <w:pPr>
              <w:pStyle w:val="12"/>
            </w:pPr>
            <w:r>
              <w:t>60.44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60.44</w:t>
            </w:r>
          </w:p>
        </w:tc>
        <w:tc>
          <w:tcPr>
            <w:tcW w:w="2551" w:type="dxa"/>
            <w:vAlign w:val="center"/>
          </w:tcPr>
          <w:p>
            <w:pPr>
              <w:pStyle w:val="12"/>
            </w:pPr>
            <w:r>
              <w:t>60.44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845.04</w:t>
            </w:r>
          </w:p>
        </w:tc>
        <w:tc>
          <w:tcPr>
            <w:tcW w:w="2551" w:type="dxa"/>
            <w:vAlign w:val="center"/>
          </w:tcPr>
          <w:p>
            <w:pPr>
              <w:pStyle w:val="16"/>
            </w:pPr>
            <w:r>
              <w:t>785.20</w:t>
            </w:r>
          </w:p>
        </w:tc>
        <w:tc>
          <w:tcPr>
            <w:tcW w:w="2551" w:type="dxa"/>
            <w:vAlign w:val="center"/>
          </w:tcPr>
          <w:p>
            <w:pPr>
              <w:pStyle w:val="16"/>
            </w:pPr>
            <w:r>
              <w:t>59.84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683.30</w:t>
            </w:r>
          </w:p>
        </w:tc>
        <w:tc>
          <w:tcPr>
            <w:tcW w:w="2551" w:type="dxa"/>
            <w:vAlign w:val="center"/>
          </w:tcPr>
          <w:p>
            <w:pPr>
              <w:pStyle w:val="12"/>
            </w:pPr>
            <w:r>
              <w:t>683.30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249.55</w:t>
            </w:r>
          </w:p>
        </w:tc>
        <w:tc>
          <w:tcPr>
            <w:tcW w:w="2551" w:type="dxa"/>
            <w:vAlign w:val="center"/>
          </w:tcPr>
          <w:p>
            <w:pPr>
              <w:pStyle w:val="12"/>
            </w:pPr>
            <w:r>
              <w:t>249.55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80.34</w:t>
            </w:r>
          </w:p>
        </w:tc>
        <w:tc>
          <w:tcPr>
            <w:tcW w:w="2551" w:type="dxa"/>
            <w:vAlign w:val="center"/>
          </w:tcPr>
          <w:p>
            <w:pPr>
              <w:pStyle w:val="12"/>
            </w:pPr>
            <w:r>
              <w:t>80.34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33.49</w:t>
            </w:r>
          </w:p>
        </w:tc>
        <w:tc>
          <w:tcPr>
            <w:tcW w:w="2551" w:type="dxa"/>
            <w:vAlign w:val="center"/>
          </w:tcPr>
          <w:p>
            <w:pPr>
              <w:pStyle w:val="12"/>
            </w:pPr>
            <w:r>
              <w:t>33.49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138.28</w:t>
            </w:r>
          </w:p>
        </w:tc>
        <w:tc>
          <w:tcPr>
            <w:tcW w:w="2551" w:type="dxa"/>
            <w:vAlign w:val="center"/>
          </w:tcPr>
          <w:p>
            <w:pPr>
              <w:pStyle w:val="12"/>
            </w:pPr>
            <w:r>
              <w:t>138.28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78.11</w:t>
            </w:r>
          </w:p>
        </w:tc>
        <w:tc>
          <w:tcPr>
            <w:tcW w:w="2551" w:type="dxa"/>
            <w:vAlign w:val="center"/>
          </w:tcPr>
          <w:p>
            <w:pPr>
              <w:pStyle w:val="12"/>
            </w:pPr>
            <w:r>
              <w:t>78.11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34.63</w:t>
            </w:r>
          </w:p>
        </w:tc>
        <w:tc>
          <w:tcPr>
            <w:tcW w:w="2551" w:type="dxa"/>
            <w:vAlign w:val="center"/>
          </w:tcPr>
          <w:p>
            <w:pPr>
              <w:pStyle w:val="12"/>
            </w:pPr>
            <w:r>
              <w:t>34.63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4.28</w:t>
            </w:r>
          </w:p>
        </w:tc>
        <w:tc>
          <w:tcPr>
            <w:tcW w:w="2551" w:type="dxa"/>
            <w:vAlign w:val="center"/>
          </w:tcPr>
          <w:p>
            <w:pPr>
              <w:pStyle w:val="12"/>
            </w:pPr>
            <w:r>
              <w:t>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60.44</w:t>
            </w:r>
          </w:p>
        </w:tc>
        <w:tc>
          <w:tcPr>
            <w:tcW w:w="2551" w:type="dxa"/>
            <w:vAlign w:val="center"/>
          </w:tcPr>
          <w:p>
            <w:pPr>
              <w:pStyle w:val="12"/>
            </w:pPr>
            <w:r>
              <w:t>60.44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95.47</w:t>
            </w:r>
          </w:p>
        </w:tc>
        <w:tc>
          <w:tcPr>
            <w:tcW w:w="2551" w:type="dxa"/>
            <w:vAlign w:val="center"/>
          </w:tcPr>
          <w:p>
            <w:pPr>
              <w:pStyle w:val="12"/>
            </w:pPr>
            <w:r>
              <w:t>35.63</w:t>
            </w:r>
          </w:p>
        </w:tc>
        <w:tc>
          <w:tcPr>
            <w:tcW w:w="2551" w:type="dxa"/>
            <w:vAlign w:val="center"/>
          </w:tcPr>
          <w:p>
            <w:pPr>
              <w:pStyle w:val="12"/>
            </w:pPr>
            <w:r>
              <w:t>59.84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2.98</w:t>
            </w:r>
          </w:p>
        </w:tc>
        <w:tc>
          <w:tcPr>
            <w:tcW w:w="2551" w:type="dxa"/>
            <w:vAlign w:val="center"/>
          </w:tcPr>
          <w:p>
            <w:pPr>
              <w:pStyle w:val="12"/>
            </w:pPr>
          </w:p>
        </w:tc>
        <w:tc>
          <w:tcPr>
            <w:tcW w:w="2551" w:type="dxa"/>
            <w:vAlign w:val="center"/>
          </w:tcPr>
          <w:p>
            <w:pPr>
              <w:pStyle w:val="12"/>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9.06</w:t>
            </w:r>
          </w:p>
        </w:tc>
        <w:tc>
          <w:tcPr>
            <w:tcW w:w="2551" w:type="dxa"/>
            <w:vAlign w:val="center"/>
          </w:tcPr>
          <w:p>
            <w:pPr>
              <w:pStyle w:val="12"/>
            </w:pPr>
          </w:p>
        </w:tc>
        <w:tc>
          <w:tcPr>
            <w:tcW w:w="2551" w:type="dxa"/>
            <w:vAlign w:val="center"/>
          </w:tcPr>
          <w:p>
            <w:pPr>
              <w:pStyle w:val="12"/>
            </w:pPr>
            <w:r>
              <w:t>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35.63</w:t>
            </w:r>
          </w:p>
        </w:tc>
        <w:tc>
          <w:tcPr>
            <w:tcW w:w="2551" w:type="dxa"/>
            <w:vAlign w:val="center"/>
          </w:tcPr>
          <w:p>
            <w:pPr>
              <w:pStyle w:val="12"/>
            </w:pPr>
            <w:r>
              <w:t>35.63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4.81</w:t>
            </w:r>
          </w:p>
        </w:tc>
        <w:tc>
          <w:tcPr>
            <w:tcW w:w="2551" w:type="dxa"/>
            <w:vAlign w:val="center"/>
          </w:tcPr>
          <w:p>
            <w:pPr>
              <w:pStyle w:val="12"/>
            </w:pPr>
          </w:p>
        </w:tc>
        <w:tc>
          <w:tcPr>
            <w:tcW w:w="2551" w:type="dxa"/>
            <w:vAlign w:val="center"/>
          </w:tcPr>
          <w:p>
            <w:pPr>
              <w:pStyle w:val="12"/>
            </w:pPr>
            <w:r>
              <w:t>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13.62</w:t>
            </w:r>
          </w:p>
        </w:tc>
        <w:tc>
          <w:tcPr>
            <w:tcW w:w="2551" w:type="dxa"/>
            <w:vAlign w:val="center"/>
          </w:tcPr>
          <w:p>
            <w:pPr>
              <w:pStyle w:val="12"/>
            </w:pPr>
          </w:p>
        </w:tc>
        <w:tc>
          <w:tcPr>
            <w:tcW w:w="2551" w:type="dxa"/>
            <w:vAlign w:val="center"/>
          </w:tcPr>
          <w:p>
            <w:pPr>
              <w:pStyle w:val="12"/>
            </w:pPr>
            <w:r>
              <w:t>13.62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3.13</w:t>
            </w:r>
          </w:p>
        </w:tc>
        <w:tc>
          <w:tcPr>
            <w:tcW w:w="2551" w:type="dxa"/>
            <w:vAlign w:val="center"/>
          </w:tcPr>
          <w:p>
            <w:pPr>
              <w:pStyle w:val="12"/>
            </w:pPr>
          </w:p>
        </w:tc>
        <w:tc>
          <w:tcPr>
            <w:tcW w:w="2551" w:type="dxa"/>
            <w:vAlign w:val="center"/>
          </w:tcPr>
          <w:p>
            <w:pPr>
              <w:pStyle w:val="12"/>
            </w:pPr>
            <w:r>
              <w:t>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66.27</w:t>
            </w:r>
          </w:p>
        </w:tc>
        <w:tc>
          <w:tcPr>
            <w:tcW w:w="2551" w:type="dxa"/>
            <w:vAlign w:val="center"/>
          </w:tcPr>
          <w:p>
            <w:pPr>
              <w:pStyle w:val="12"/>
            </w:pPr>
            <w:r>
              <w:t>66.27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66.27</w:t>
            </w:r>
          </w:p>
        </w:tc>
        <w:tc>
          <w:tcPr>
            <w:tcW w:w="2551" w:type="dxa"/>
            <w:vAlign w:val="center"/>
          </w:tcPr>
          <w:p>
            <w:pPr>
              <w:pStyle w:val="12"/>
            </w:pPr>
            <w:r>
              <w:t>66.27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318平泉市财政局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14.00</w:t>
            </w:r>
          </w:p>
        </w:tc>
        <w:tc>
          <w:tcPr>
            <w:tcW w:w="2381" w:type="dxa"/>
            <w:vAlign w:val="center"/>
          </w:tcPr>
          <w:p>
            <w:pPr>
              <w:pStyle w:val="16"/>
            </w:pPr>
            <w:r>
              <w:t>14.00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14.00</w:t>
            </w:r>
          </w:p>
        </w:tc>
        <w:tc>
          <w:tcPr>
            <w:tcW w:w="2381" w:type="dxa"/>
            <w:vAlign w:val="center"/>
          </w:tcPr>
          <w:p>
            <w:pPr>
              <w:pStyle w:val="12"/>
            </w:pPr>
            <w:r>
              <w:t>14.00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平泉市财政局2025年部门预算信息公开情况说明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平泉市财政局2025年部门预算信息公开情况说明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按照《中华人民共和国预算法》、《地方预决算公开操作规程》和《关于进一步推进预算公开工作的实施意见》规定，现将平泉市财政局2025年部门预算公开如下：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 xml:space="preserve">贯彻落实党中央、省委、承德市委和市委关于财政工作的方针政策和决策部署，坚持和加强党对财政工作的集中统一领导。 </w:t>
      </w:r>
    </w:p>
    <w:p>
      <w:pPr>
        <w:pStyle w:val="18"/>
      </w:pPr>
      <w:r>
        <w:t>（一）主要职责：</w:t>
      </w:r>
    </w:p>
    <w:p>
      <w:pPr>
        <w:pStyle w:val="18"/>
      </w:pPr>
      <w:r>
        <w:t>1、贯彻执行财税发展战略、规划、政策和改革方案并组织实施。分析预测宏观经济形势，参与制定宏观经济政策，提出运用财税政策实施宏观调控和综合平衡社会财力的建议。拟定市与乡（镇）与企业的分配政策，贯彻执行鼓励公益事业发展的财税政策。</w:t>
      </w:r>
    </w:p>
    <w:p>
      <w:pPr>
        <w:pStyle w:val="18"/>
      </w:pPr>
      <w:r>
        <w:t>2、贯彻执行财政、财务、会计管理的法律、行政法规、规章，并监督执行。</w:t>
      </w:r>
    </w:p>
    <w:p>
      <w:pPr>
        <w:pStyle w:val="18"/>
      </w:pPr>
      <w:r>
        <w:t>3、负责管理市级各项财政收支。编制年度市级预决算草案并组织执行，汇编全市预决算草案。组织制定经费开支标准、定额，审核批复部门（单位）年度预决算。受市政府委托，向市人民代表大会及其常委会报告财政预算、执行和决算等情况。负责政府投资基金市级财政出资的资产管理。负责市级财政预决算公开。</w:t>
      </w:r>
    </w:p>
    <w:p>
      <w:pPr>
        <w:pStyle w:val="18"/>
      </w:pPr>
      <w:r>
        <w:t>4、组织推进税收制度改革，落实税收政策。</w:t>
      </w:r>
    </w:p>
    <w:p>
      <w:pPr>
        <w:pStyle w:val="18"/>
      </w:pPr>
      <w:r>
        <w:t>5、按分工负责政府非税收入管理。负责政府性基金管理，按规定管理行政事业性收费。管理财政票据。贯彻执行彩票管理政策和有关办法，监管彩票市场，按规定管理彩票资金。</w:t>
      </w:r>
    </w:p>
    <w:p>
      <w:pPr>
        <w:pStyle w:val="18"/>
      </w:pPr>
      <w:r>
        <w:t>6、贯彻执行国库管理制度、国库集中收付制度，指导和监督市本级国库业务，开展国库现金管理工作。组织编制政府财务报告。贯彻执行政府采购制度并监督管理。</w:t>
      </w:r>
    </w:p>
    <w:p>
      <w:pPr>
        <w:pStyle w:val="18"/>
      </w:pPr>
      <w:r>
        <w:t>7、执行政府债务管理制度和政策，拟订具体办法。负责政府债务限额管理和还本付息等工作。执行国家外债管理政策，拟订具体办法，管理市政府国外债权、债务。开展对外财经交流。</w:t>
      </w:r>
    </w:p>
    <w:p>
      <w:pPr>
        <w:pStyle w:val="18"/>
      </w:pPr>
      <w:r>
        <w:t>8、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pPr>
        <w:pStyle w:val="18"/>
      </w:pPr>
      <w:r>
        <w:t>9、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pPr>
        <w:pStyle w:val="18"/>
      </w:pPr>
      <w:r>
        <w:t>10、负责审核并汇总编制全市社会保险基金预决算草案，会同有关部门拟订有关资金（基金</w:t>
      </w:r>
    </w:p>
    <w:p>
      <w:pPr>
        <w:pStyle w:val="18"/>
      </w:pPr>
      <w:r>
        <w:t>11、负责办理和监督市级财政的经济发展支出、市级政府性投资项目的财政拨款，参与拟订市级建设投资的有关政策，制定基建财务管理制度。负责财政预算评审管理。</w:t>
      </w:r>
    </w:p>
    <w:p>
      <w:pPr>
        <w:pStyle w:val="18"/>
      </w:pPr>
      <w:r>
        <w:t>12、负责管理全市会计工作，监督和规范会计行为，组织实施会计制度，依法管理注册会计师和会计师事务所的业务。依法管理资产评估有关工作。</w:t>
      </w:r>
    </w:p>
    <w:p>
      <w:pPr>
        <w:pStyle w:val="18"/>
      </w:pPr>
      <w:r>
        <w:t>13、根据市政府授权，依照《中华人民共和国企业国有资产法》《中华人民共和国公司法》等法律和行政法规履行出资人职责，监管履行出资人职责企业的国有资产，加强国有资产的管理工作。</w:t>
      </w:r>
    </w:p>
    <w:p>
      <w:pPr>
        <w:pStyle w:val="18"/>
      </w:pPr>
      <w:r>
        <w:t>14、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pStyle w:val="18"/>
      </w:pPr>
      <w:r>
        <w:t>15、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pStyle w:val="18"/>
      </w:pPr>
      <w:r>
        <w:t>16、负责通过法定程序对所监管企业负责人进行任免、考核，并根据其经营业绩进行奖惩。</w:t>
      </w:r>
    </w:p>
    <w:p>
      <w:pPr>
        <w:pStyle w:val="18"/>
      </w:pPr>
      <w:r>
        <w:t>17、负责组织所监管企业上交国有资本收益，参与制定国有资本经营预算有关管理制度和办法，按照有关规定负责国有资本经营预决算编制和执行等工作。</w:t>
      </w:r>
    </w:p>
    <w:p>
      <w:pPr>
        <w:pStyle w:val="18"/>
      </w:pPr>
      <w:r>
        <w:t>18、按照出资人职责，负责督促检查所监管企业贯彻落实国家安全生产方针政策及有关法律法规、标准等工作。</w:t>
      </w:r>
    </w:p>
    <w:p>
      <w:pPr>
        <w:pStyle w:val="18"/>
      </w:pPr>
      <w:r>
        <w:t>19、负责企业国有资产基础管理，贯彻落实国有资产管理的法律法规、地方性法规、政府规章，依法对市级国有资产管理工作进行指导和监督。</w:t>
      </w:r>
    </w:p>
    <w:p>
      <w:pPr>
        <w:pStyle w:val="18"/>
      </w:pPr>
      <w:r>
        <w:t>20、完成市委、市政府交办的其他任务。</w:t>
      </w:r>
    </w:p>
    <w:p>
      <w:pPr>
        <w:pStyle w:val="18"/>
      </w:pPr>
      <w:r>
        <w:t>（二）转变职能:</w:t>
      </w:r>
    </w:p>
    <w:p>
      <w:pPr>
        <w:pStyle w:val="18"/>
      </w:pPr>
      <w:r>
        <w:t>1、完善宏观调控体系，创新调控方式，构建发展规划、财政、金融等政策协调和工作协同机制，强化经济监测预测预警能力，建立健全重大问题研究和政策储备工作机制，增强宏观调控前瞻性、针对性、协同性。</w:t>
      </w:r>
    </w:p>
    <w:p>
      <w:pPr>
        <w:pStyle w:val="18"/>
      </w:pPr>
      <w:r>
        <w:t>2、深化财税体制改革。加快建立现代财政制度，推进财政事权和支出责任划分改革，按照中央、省、承德市要求，理顺市与乡（镇）收入划分，建立权责清晰、财力协调、区域均衡的财政关系。完善转移支付制度，优化转移支付分类，规范转移支付项目，增强市级和乡（镇）统筹能力。逐步统一预算分配，全面实施绩效管理，建立全面规范透明、标准科学、约束有力的预算制度。全面推行政府性基金和行政事业性收费清单管理，完善监督制度。深化税收制度改革，按照改革要求，健全地方税体系，形成税法统一、税负公平、调节有度的税收制度体系。</w:t>
      </w:r>
    </w:p>
    <w:p>
      <w:pPr>
        <w:pStyle w:val="18"/>
      </w:pPr>
      <w:r>
        <w:t>3、防范化解政府债务风险。规范举债融资机制，构建“闭环”管理体系，严控法定限额内债务风险，牢牢守住不发生系统性风险的底线。</w:t>
      </w:r>
    </w:p>
    <w:p>
      <w:pPr>
        <w:pStyle w:val="18"/>
      </w:pPr>
      <w:r>
        <w:t>（三）有关职责分工：</w:t>
      </w:r>
    </w:p>
    <w:p>
      <w:pPr>
        <w:pStyle w:val="18"/>
      </w:pPr>
      <w:r>
        <w:t>1.税政管理职责分工。市财政局与税务局等部门负责地方税收调查研究工作，研究提出调节地方经济运行和国民收入分配的税收政策建议与完善措施。市财政局负责收费政策管理，监督检查各项税收政策执行情况，管理综合治税信息平台，提出税收征管建议，市税务局负责税收收入征收、征缴等工作。</w:t>
      </w:r>
    </w:p>
    <w:p>
      <w:pPr>
        <w:pStyle w:val="18"/>
      </w:pPr>
      <w:r>
        <w:t>2.非税收入管理职责分工。市财政局负责制定和组织实施非税收入国库集中收缴管理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平泉市财政局本级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平泉市财政局事业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平泉市国有资产服务中心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按照预算管理有关规定，目前部门预算的编制实行综合预算管理，即全部收入和支出都反映在预算中。平泉市财政局机关及所属事业单位的收支包含在部门预算中。</w:t>
      </w:r>
    </w:p>
    <w:p>
      <w:pPr>
        <w:pStyle w:val="19"/>
      </w:pPr>
      <w:r>
        <w:t>1、收入说明</w:t>
      </w:r>
    </w:p>
    <w:p>
      <w:pPr>
        <w:pStyle w:val="19"/>
      </w:pPr>
      <w:r>
        <w:t>反映本部门当年全部收入。2025年预算收入855.04万元，其中：一般公共预算收入855.04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平泉市财政局年度部门预算中支出预算的总体情况。2025年支出预算855.04万元，其中基本支出845.04万元，包括人员经费785.20万元和日常公用经费59.84万元；项目支出10.00万元，主要为上级专款农村会计培训</w:t>
      </w:r>
    </w:p>
    <w:p>
      <w:pPr>
        <w:pStyle w:val="19"/>
      </w:pPr>
      <w:r>
        <w:t>3、比上年增减情况</w:t>
      </w:r>
    </w:p>
    <w:p>
      <w:pPr>
        <w:pStyle w:val="19"/>
      </w:pPr>
      <w:r>
        <w:t>2025年预算收支安排855.04万元，较2024年预算减少57.81万元，其中：基本支出减少58.81万元，主要为历行节约项目支出增加1.00万元，主要为根据上级专款数额确定</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2025年，我部门机关运行经费共计安排59.84万元，主要用于日常维修、办公用房水电费、办公用房取暖费、办公用房物业管理费等日常运行支出。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14.00万元，其中因公出国（境）费0.00万元；公务用车购置及运维费8.00万元（其中：公务用车购置费为0.00万元，公务用车运维费8.00万元)；公务接待费6.00万元。与2024年相比减少2.74万元，增减变化的主要原因是主要是公务接待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2024年财政工作将紧紧围绕市委、市政府决策部署，以稳中求进为总基调，以增收节支为主线，以财政改革为统揽，以推进财政工作法治化、信息化、绩效化为支撑，加强财政管理，提高资金绩效，为加快建设“经济强市、魅力平泉”提供有力的财力支撑。在稳定运行综合治税（金鹰）税源管理系统的基础 上，重点加大纳税模型的建立及税控装置的安装，对全市的零售业、餐饮业试点推行税控一体机，实现纳税户营业收入实时监控。不断完善以电控税、以地控税等机制，协调国、地税开展综合治税专项行动，实现堵漏增收、应收尽收按照“以旬保月、以月保季、以季保年”要求，日通报、旬过问、月调度、季分析，确保全年全部财政收入、一般公共预算收入稳步增长。</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财政收入管理职责绩效目标：落实国家营改增、消费税、资源税、个人所得税等税制改革任务，监控重点税源，保障税收政策落实到位，税收收入征收到位；进行税制改革的研究分析和效应评估，为市委、 市政府科学决策提供依据。税收收入占比，财政收入计划编制准确率，全部财政收入增长率，一般预算收入增长率，规范彩票公益金征收管理，及时准确组织征缴入库，促进社会福利和体育等公益事业发展。</w:t>
      </w:r>
    </w:p>
    <w:p>
      <w:pPr>
        <w:pStyle w:val="23"/>
      </w:pPr>
      <w:r>
        <w:t>财政资源配置管理职责绩效目标：全面保障和改善民生，调结构转方式、生态环境治理等，强化经济   调控，推动绿色崛起。</w:t>
      </w:r>
    </w:p>
    <w:p>
      <w:pPr>
        <w:pStyle w:val="23"/>
      </w:pPr>
      <w:r>
        <w:t>财政体制管理职责绩效目标：争取中央、省、市加大对我市转移支付力度，市乡政府间收入和支出责   任划分科学、合理。乡镇财政运行平稳、健康。</w:t>
      </w:r>
    </w:p>
    <w:p>
      <w:pPr>
        <w:pStyle w:val="23"/>
      </w:pPr>
      <w:r>
        <w:t>预算管理职责绩效目标：根据宏观经济形势发展，科学制定财政预算政策。按时完成部门预算和政府功能预算草案的编制和向人大报告工作。及时准确办理指标登记手续，并核算；按时审批预算单位资金垫付、系统内划转等审批事项；及时准确拨付财政资金；按月汇总全市预算执行情况，为领导决策提供分析报告。推进权责发生制政府综合财务报告制度改革。编制市本级财政总决算；汇总编报全市财政总决算、社保基金决算、全市部门决算。</w:t>
      </w:r>
    </w:p>
    <w:p>
      <w:pPr>
        <w:pStyle w:val="23"/>
      </w:pPr>
      <w:r>
        <w:t>国库管理职责绩效目标：按批准的额度办理国库现金定期存款手续，到期收回本息。及时登记上下级   往来专项资金指标。及时准确办理库款调度手续。科学规范管理银行账户，依规拨付、核算财政专户资 金。总预算会计核算规范，按时组织办理上下级年度财政结算事项，与政府综合财务报告编制符合规范。</w:t>
      </w:r>
    </w:p>
    <w:p>
      <w:pPr>
        <w:pStyle w:val="23"/>
      </w:pPr>
      <w:r>
        <w:t>财政监督管理职责绩效目标：促进财政预算管理质量不断提升，促进部门财务管理水平持续改进，促进财政政策和市委市政府重大决策、部署贯彻落实。客观反映绩效预算执行效果，促进绩效预算目标有效实现，促进部门战略发展规划实施和职责履行，提高财政资金使用效益。完成年度预算评审计划、局内业务科室委托的评审项目；完成财政厅和局内业务科室安排的专项核查和绩效评价工作。维护财经秩序，提高会计信息质量，规范会计师事务所和会计师执业行为。</w:t>
      </w:r>
    </w:p>
    <w:p>
      <w:pPr>
        <w:pStyle w:val="23"/>
      </w:pPr>
      <w:r>
        <w:t>财务会计管理职责绩效目标：认真贯彻实施国家会计法律、法规、规章、制度。按时组织会计资格考   试，不能发生重大责任事故。落实国家相关规定，规范我市行政事业单位财务管理。加强企业财务信息管   理，提高企业财务信息的编制水平。</w:t>
      </w:r>
    </w:p>
    <w:p>
      <w:pPr>
        <w:pStyle w:val="23"/>
      </w:pPr>
      <w:r>
        <w:t>国有资产管理职责绩效目标：推进全市行政事业资产合理配置和有效利用，维护国有资产权益。完善市公车配备使用制度，严格管理公车编制，确保编制管理合规合法，不超编配车。严格办理市属金融企业国有资产管理事务，防范国有资产流失，促进金融企业健康发展。</w:t>
      </w:r>
    </w:p>
    <w:p>
      <w:pPr>
        <w:pStyle w:val="23"/>
      </w:pPr>
      <w:r>
        <w:t>政府专项工作服务与管理职责绩效目标：政策制度及时完善，政采预算按时审核，采购方式按时正确核准，采购活动监管到位，投诉处理依法按时完成。促进城乡公共服务均等化水平进一步提高，农村村内户外公益事业建设进一步加强，试点村村民生活环境进一步改善,城乡一体化、公共服务均等化进一步提高。有效发挥政府规范举债的积极作用，规范政府债务管理，防范政府债务风险不断提升税源管控水平，促进税收质量的提高和税收环境的优化建立较为完善的政府购买服务工作机制，相关配套政策体系比较健全。</w:t>
      </w:r>
    </w:p>
    <w:p>
      <w:pPr>
        <w:pStyle w:val="23"/>
      </w:pPr>
      <w:r>
        <w:t>政府专项工作服务与管理职责绩效目标：落实国家有关工资制度改革政策，继续采取有效措施进一步   提高全市干部职工收入水平，不断规范津贴补贴发放秩序。</w:t>
      </w:r>
    </w:p>
    <w:p>
      <w:pPr>
        <w:pStyle w:val="23"/>
      </w:pPr>
      <w:r>
        <w:t>财政政务管理职责绩效目标：积极推进依法行政，普法教育宣传有力，及时办理行政案件，规范行政行为措施得力。对市直部门、乡镇协调有力，外部关系良好，信息发布正确及时，推进改革研究深入。机关协调运行，事业单位工作正常开展，思想政治工作深入，后勤服务保障有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sectPr>
          <w:pgSz w:w="16840" w:h="11900" w:orient="landscape"/>
          <w:pgMar w:top="1361" w:right="1020" w:bottom="1361" w:left="1020" w:header="720" w:footer="720" w:gutter="0"/>
        </w:sectPr>
      </w:pPr>
      <w:r>
        <w:t>近年来，受经济下行压力和结构性调整影响，财政收支矛盾问题日益突出，加上今年受新冠肺炎疫情影响，财政收支形势愈发严峻。面对如此困境，财政局不断加大工作力度，力争做好全县财政保障工作。加大实施预算绩效管理工作力度。全面开展预算绩效管理，将各预算单位专项资金均纳入预算绩效管理的范畴，并科学合理的制定绩效目标，做到“花钱必问效，无效必问责”，确保每一笔财政资金都发挥最大效益。强化预算执行监控，依靠一体化信息系统，对财政资金进行实时监控。</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1、2025年农村会计人员培训资金绩效目标表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13082325P00590710002W</w:t>
            </w:r>
          </w:p>
        </w:tc>
        <w:tc>
          <w:tcPr>
            <w:tcW w:w="2835" w:type="dxa"/>
            <w:vAlign w:val="center"/>
          </w:tcPr>
          <w:p>
            <w:pPr>
              <w:pStyle w:val="11"/>
            </w:pPr>
            <w:r>
              <w:t>项目名称</w:t>
            </w:r>
          </w:p>
        </w:tc>
        <w:tc>
          <w:tcPr>
            <w:tcW w:w="6095" w:type="dxa"/>
            <w:gridSpan w:val="3"/>
            <w:vAlign w:val="center"/>
          </w:tcPr>
          <w:p>
            <w:pPr>
              <w:pStyle w:val="13"/>
            </w:pPr>
            <w:r>
              <w:t>2025年农村会计人员培训资金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2025年农村会计培训资金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1.2025年农村会计培训资金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报告数量</w:t>
            </w:r>
          </w:p>
        </w:tc>
        <w:tc>
          <w:tcPr>
            <w:tcW w:w="5386" w:type="dxa"/>
            <w:vAlign w:val="center"/>
          </w:tcPr>
          <w:p>
            <w:pPr>
              <w:pStyle w:val="13"/>
            </w:pPr>
            <w:r>
              <w:t>报告数量</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全年度</w:t>
            </w:r>
          </w:p>
        </w:tc>
        <w:tc>
          <w:tcPr>
            <w:tcW w:w="5386" w:type="dxa"/>
            <w:vAlign w:val="center"/>
          </w:tcPr>
          <w:p>
            <w:pPr>
              <w:pStyle w:val="13"/>
            </w:pPr>
            <w:r>
              <w:t>保证受损路段及时修复</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参训人数</w:t>
            </w:r>
          </w:p>
        </w:tc>
        <w:tc>
          <w:tcPr>
            <w:tcW w:w="5386" w:type="dxa"/>
            <w:vAlign w:val="center"/>
          </w:tcPr>
          <w:p>
            <w:pPr>
              <w:pStyle w:val="13"/>
            </w:pPr>
            <w:r>
              <w:t>参训人数</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100无</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100无</w:t>
            </w:r>
          </w:p>
        </w:tc>
        <w:tc>
          <w:tcPr>
            <w:tcW w:w="1276" w:type="dxa"/>
            <w:vAlign w:val="center"/>
          </w:tcPr>
          <w:p>
            <w:pPr>
              <w:pStyle w:val="13"/>
            </w:pPr>
            <w:r>
              <w:t>文件要求</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318平泉市财政局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平泉市财政局本级小计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22.98</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平泉市财政局（含所属单位）上年末固定资产金额为241.30万元（详见下表）。本年度拟购置固定资产总额为0.00万元，已按要求列入政府采购预算，详见政府采购预算表。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318平泉市财政局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48</w:t>
            </w:r>
          </w:p>
        </w:tc>
        <w:tc>
          <w:tcPr>
            <w:tcW w:w="2835" w:type="dxa"/>
            <w:vAlign w:val="center"/>
          </w:tcPr>
          <w:p>
            <w:pPr>
              <w:pStyle w:val="12"/>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57.24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217</w:t>
            </w:r>
          </w:p>
        </w:tc>
        <w:tc>
          <w:tcPr>
            <w:tcW w:w="2835" w:type="dxa"/>
            <w:vAlign w:val="center"/>
          </w:tcPr>
          <w:p>
            <w:pPr>
              <w:pStyle w:val="12"/>
            </w:pPr>
            <w:r>
              <w:t>126.43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50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ScaleCrop>false</ScaleCrop>
  <LinksUpToDate>false</LinksUpToDate>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2025-03-06T16:34:00Z</dcterms:created>
  <dc:creator>Administrator</dc:creator>
  <cp:lastModifiedBy>Administrator</cp:lastModifiedBy>
  <dcterms:modified xsi:type="dcterms:W3CDTF">2025-03-06T08:47:12Z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