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22"/>
        <w:spacing w:before="517" w:line="219" w:lineRule="auto"/>
        <w:outlineLvl w:val="0"/>
        <w:rPr>
          <w:rFonts w:ascii="SimSun" w:hAnsi="SimSun" w:eastAsia="SimSun" w:cs="SimSun"/>
          <w:sz w:val="88"/>
          <w:szCs w:val="88"/>
        </w:rPr>
      </w:pP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承</w:t>
      </w:r>
      <w:r>
        <w:rPr>
          <w:rFonts w:ascii="SimSun" w:hAnsi="SimSun" w:eastAsia="SimSun" w:cs="SimSun"/>
          <w:sz w:val="88"/>
          <w:szCs w:val="88"/>
          <w:color w:val="DF3891"/>
          <w:spacing w:val="-108"/>
        </w:rPr>
        <w:t xml:space="preserve"> </w:t>
      </w: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德</w:t>
      </w:r>
      <w:r>
        <w:rPr>
          <w:rFonts w:ascii="SimSun" w:hAnsi="SimSun" w:eastAsia="SimSun" w:cs="SimSun"/>
          <w:sz w:val="88"/>
          <w:szCs w:val="88"/>
          <w:color w:val="DF3891"/>
          <w:spacing w:val="-92"/>
        </w:rPr>
        <w:t xml:space="preserve"> </w:t>
      </w: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市</w:t>
      </w:r>
      <w:r>
        <w:rPr>
          <w:rFonts w:ascii="SimSun" w:hAnsi="SimSun" w:eastAsia="SimSun" w:cs="SimSun"/>
          <w:sz w:val="88"/>
          <w:szCs w:val="88"/>
          <w:color w:val="DF3891"/>
          <w:spacing w:val="-109"/>
        </w:rPr>
        <w:t xml:space="preserve"> </w:t>
      </w: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人</w:t>
      </w:r>
      <w:r>
        <w:rPr>
          <w:rFonts w:ascii="SimSun" w:hAnsi="SimSun" w:eastAsia="SimSun" w:cs="SimSun"/>
          <w:sz w:val="88"/>
          <w:szCs w:val="88"/>
          <w:color w:val="DF3891"/>
          <w:spacing w:val="-53"/>
        </w:rPr>
        <w:t xml:space="preserve"> </w:t>
      </w: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民</w:t>
      </w:r>
      <w:r>
        <w:rPr>
          <w:rFonts w:ascii="SimSun" w:hAnsi="SimSun" w:eastAsia="SimSun" w:cs="SimSun"/>
          <w:sz w:val="88"/>
          <w:szCs w:val="88"/>
          <w:color w:val="DF3891"/>
          <w:spacing w:val="-120"/>
        </w:rPr>
        <w:t xml:space="preserve"> </w:t>
      </w: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政</w:t>
      </w:r>
      <w:r>
        <w:rPr>
          <w:rFonts w:ascii="SimSun" w:hAnsi="SimSun" w:eastAsia="SimSun" w:cs="SimSun"/>
          <w:sz w:val="88"/>
          <w:szCs w:val="88"/>
          <w:color w:val="DF3891"/>
          <w:spacing w:val="-120"/>
        </w:rPr>
        <w:t xml:space="preserve"> </w:t>
      </w:r>
      <w:r>
        <w:rPr>
          <w:rFonts w:ascii="SimSun" w:hAnsi="SimSun" w:eastAsia="SimSun" w:cs="SimSun"/>
          <w:sz w:val="88"/>
          <w:szCs w:val="88"/>
          <w:b/>
          <w:bCs/>
          <w:color w:val="DF3891"/>
          <w:spacing w:val="-53"/>
        </w:rPr>
        <w:t>府</w:t>
      </w:r>
    </w:p>
    <w:p>
      <w:pPr>
        <w:spacing w:before="88" w:line="59" w:lineRule="exact"/>
        <w:rPr/>
      </w:pPr>
      <w:r>
        <w:rPr>
          <w:position w:val="-1"/>
        </w:rPr>
        <w:drawing>
          <wp:inline distT="0" distB="0" distL="0" distR="0">
            <wp:extent cx="5791198" cy="3805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91198" cy="3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  <w:r/>
    </w:p>
    <w:p>
      <w:pPr>
        <w:pStyle w:val="BodyText"/>
        <w:ind w:left="5750"/>
        <w:spacing w:before="111" w:line="222" w:lineRule="auto"/>
        <w:rPr/>
      </w:pPr>
      <w:r>
        <w:rPr>
          <w:spacing w:val="-10"/>
        </w:rPr>
        <w:t>承市政字〔2024〕12号</w:t>
      </w:r>
    </w:p>
    <w:p>
      <w:pPr>
        <w:spacing w:line="390" w:lineRule="auto"/>
        <w:rPr>
          <w:rFonts w:ascii="Arial"/>
          <w:sz w:val="21"/>
        </w:rPr>
      </w:pPr>
      <w:r/>
    </w:p>
    <w:p>
      <w:pPr>
        <w:ind w:left="3126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8"/>
        </w:rPr>
        <w:t>承德市人民政府</w:t>
      </w:r>
    </w:p>
    <w:p>
      <w:pPr>
        <w:ind w:left="1586"/>
        <w:spacing w:before="3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3"/>
        </w:rPr>
        <w:t>关于《平泉市国土空间总体规划</w:t>
      </w:r>
    </w:p>
    <w:p>
      <w:pPr>
        <w:ind w:left="2276"/>
        <w:spacing w:before="4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2"/>
        </w:rPr>
        <w:t>(2021—2035年)》的批复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pStyle w:val="BodyText"/>
        <w:ind w:left="309"/>
        <w:spacing w:before="111" w:line="222" w:lineRule="auto"/>
        <w:rPr/>
      </w:pPr>
      <w:r>
        <w:rPr>
          <w:spacing w:val="-28"/>
        </w:rPr>
        <w:t>平泉市人民政府：</w:t>
      </w:r>
    </w:p>
    <w:p>
      <w:pPr>
        <w:pStyle w:val="BodyText"/>
        <w:ind w:left="940"/>
        <w:spacing w:before="151" w:line="546" w:lineRule="exact"/>
        <w:rPr/>
      </w:pPr>
      <w:r>
        <w:rPr>
          <w:spacing w:val="-10"/>
          <w:position w:val="14"/>
        </w:rPr>
        <w:t>你市《关于审批〈平泉市国土空间总体规划(2021—2035</w:t>
      </w:r>
    </w:p>
    <w:p>
      <w:pPr>
        <w:pStyle w:val="BodyText"/>
        <w:ind w:left="309"/>
        <w:spacing w:line="220" w:lineRule="auto"/>
        <w:rPr/>
      </w:pPr>
      <w:r>
        <w:rPr>
          <w:spacing w:val="-12"/>
        </w:rPr>
        <w:t>年)〉的请示》(平政〔2023〕15号)收</w:t>
      </w:r>
      <w:r>
        <w:rPr>
          <w:spacing w:val="-13"/>
        </w:rPr>
        <w:t>悉。现批复如下：</w:t>
      </w:r>
    </w:p>
    <w:p>
      <w:pPr>
        <w:pStyle w:val="BodyText"/>
        <w:ind w:left="309" w:firstLine="634"/>
        <w:spacing w:before="163" w:line="299" w:lineRule="auto"/>
        <w:tabs>
          <w:tab w:val="left" w:pos="504"/>
        </w:tabs>
        <w:rPr/>
      </w:pPr>
      <w:r>
        <w:rPr>
          <w:rFonts w:ascii="SimHei" w:hAnsi="SimHei" w:eastAsia="SimHei" w:cs="SimHei"/>
          <w:b/>
          <w:bCs/>
          <w:spacing w:val="-24"/>
        </w:rPr>
        <w:t>一、原则同意《平泉市国土空间总体规划(2021—2035年)》</w:t>
      </w:r>
      <w:r>
        <w:rPr>
          <w:rFonts w:ascii="SimHei" w:hAnsi="SimHei" w:eastAsia="SimHei" w:cs="SimHei"/>
          <w:spacing w:val="3"/>
        </w:rPr>
        <w:t xml:space="preserve"> </w:t>
      </w:r>
      <w:r>
        <w:rPr>
          <w:rFonts w:ascii="SimHei" w:hAnsi="SimHei" w:eastAsia="SimHei" w:cs="SimHei"/>
          <w:b/>
          <w:bCs/>
        </w:rPr>
        <w:tab/>
      </w:r>
      <w:r>
        <w:rPr>
          <w:rFonts w:ascii="SimHei" w:hAnsi="SimHei" w:eastAsia="SimHei" w:cs="SimHei"/>
          <w:b/>
          <w:bCs/>
          <w:spacing w:val="-38"/>
        </w:rPr>
        <w:t>(以下简称《规划》)。</w:t>
      </w:r>
      <w:r>
        <w:rPr>
          <w:spacing w:val="-38"/>
        </w:rPr>
        <w:t>《规划》是平泉市空间发展的指南、可持</w:t>
      </w:r>
      <w:r>
        <w:rPr>
          <w:spacing w:val="3"/>
        </w:rPr>
        <w:t xml:space="preserve">  </w:t>
      </w:r>
      <w:r>
        <w:rPr>
          <w:spacing w:val="-20"/>
        </w:rPr>
        <w:t>续发展的空间蓝图，是各类开发保护建设活动的基本依据，你</w:t>
      </w:r>
      <w:r>
        <w:rPr/>
        <w:t xml:space="preserve">  </w:t>
      </w:r>
      <w:r>
        <w:rPr>
          <w:spacing w:val="-31"/>
        </w:rPr>
        <w:t>市要认真组织实施。《规划》实施要坚持以习近平新时代中</w:t>
      </w:r>
      <w:r>
        <w:rPr>
          <w:spacing w:val="-32"/>
        </w:rPr>
        <w:t>国特</w:t>
      </w:r>
      <w:r>
        <w:rPr/>
        <w:t xml:space="preserve">  </w:t>
      </w:r>
      <w:r>
        <w:rPr>
          <w:spacing w:val="-20"/>
        </w:rPr>
        <w:t>色社会主义思想为指导，全面贯彻落实党的二十大精神，深入</w:t>
      </w:r>
      <w:r>
        <w:rPr>
          <w:spacing w:val="4"/>
        </w:rPr>
        <w:t xml:space="preserve">  </w:t>
      </w:r>
      <w:r>
        <w:rPr>
          <w:spacing w:val="-20"/>
        </w:rPr>
        <w:t>贯彻习近平总书记视察河北、视察承德重要讲话精神，认真落</w:t>
      </w:r>
      <w:r>
        <w:rPr>
          <w:spacing w:val="5"/>
        </w:rPr>
        <w:t xml:space="preserve">  </w:t>
      </w:r>
      <w:r>
        <w:rPr>
          <w:spacing w:val="-20"/>
        </w:rPr>
        <w:t>实省委、省政府，市委、市政府各项部署，完整、准</w:t>
      </w:r>
      <w:r>
        <w:rPr>
          <w:spacing w:val="-21"/>
        </w:rPr>
        <w:t>确、全面</w:t>
      </w:r>
      <w:r>
        <w:rPr/>
        <w:t xml:space="preserve">  </w:t>
      </w:r>
      <w:r>
        <w:rPr>
          <w:spacing w:val="-20"/>
        </w:rPr>
        <w:t>贯彻新发展理念，服务和融入新发展格局，深入实施</w:t>
      </w:r>
      <w:r>
        <w:rPr>
          <w:spacing w:val="-21"/>
        </w:rPr>
        <w:t>京津冀协</w:t>
      </w:r>
      <w:r>
        <w:rPr/>
        <w:t xml:space="preserve">  </w:t>
      </w:r>
      <w:r>
        <w:rPr>
          <w:spacing w:val="-20"/>
        </w:rPr>
        <w:t>同发展战略，着力建设国家农业现代化示范区、河北省城乡融</w:t>
      </w:r>
    </w:p>
    <w:p>
      <w:pPr>
        <w:pStyle w:val="BodyText"/>
        <w:ind w:left="309"/>
        <w:spacing w:line="222" w:lineRule="auto"/>
        <w:rPr/>
      </w:pPr>
      <w:r>
        <w:rPr>
          <w:spacing w:val="-25"/>
        </w:rPr>
        <w:t>合发展实验区，打造承德市域副中心城市。</w:t>
      </w:r>
    </w:p>
    <w:p>
      <w:pPr>
        <w:pStyle w:val="BodyText"/>
        <w:ind w:left="944"/>
        <w:spacing w:before="176" w:line="542" w:lineRule="exact"/>
        <w:rPr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1"/>
          <w:position w:val="15"/>
        </w:rPr>
        <w:t>二、筑牢安全发展空间基础。</w:t>
      </w:r>
      <w:r>
        <w:rPr>
          <w:sz w:val="33"/>
          <w:szCs w:val="33"/>
          <w:spacing w:val="-11"/>
          <w:position w:val="15"/>
        </w:rPr>
        <w:t>到2035年，</w:t>
      </w:r>
      <w:r>
        <w:rPr>
          <w:sz w:val="33"/>
          <w:szCs w:val="33"/>
          <w:spacing w:val="-12"/>
          <w:position w:val="15"/>
        </w:rPr>
        <w:t>平泉市耕地保有</w:t>
      </w:r>
    </w:p>
    <w:p>
      <w:pPr>
        <w:pStyle w:val="BodyText"/>
        <w:ind w:left="309"/>
        <w:spacing w:before="2" w:line="220" w:lineRule="auto"/>
        <w:rPr/>
      </w:pPr>
      <w:r>
        <w:rPr>
          <w:spacing w:val="-17"/>
        </w:rPr>
        <w:t>量不低于79.78万亩，其中永久基本农田保护面积不低于69.55</w:t>
      </w:r>
    </w:p>
    <w:p>
      <w:pPr>
        <w:spacing w:line="220" w:lineRule="auto"/>
        <w:sectPr>
          <w:footerReference w:type="default" r:id="rId1"/>
          <w:pgSz w:w="11760" w:h="16600"/>
          <w:pgMar w:top="1411" w:right="1314" w:bottom="870" w:left="1289" w:header="0" w:footer="810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pStyle w:val="BodyText"/>
        <w:ind w:right="35"/>
        <w:spacing w:before="100" w:line="322" w:lineRule="auto"/>
        <w:jc w:val="both"/>
        <w:rPr>
          <w:sz w:val="31"/>
          <w:szCs w:val="31"/>
        </w:rPr>
      </w:pPr>
      <w:r>
        <w:rPr>
          <w:sz w:val="31"/>
          <w:szCs w:val="31"/>
          <w:spacing w:val="14"/>
        </w:rPr>
        <w:t>万亩；生态保护红线面积不低于1108.64平方千米；城镇开发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21"/>
        </w:rPr>
        <w:t>边界扩展倍数控制在基于2020年城镇建设用地规模的1.15倍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0"/>
        </w:rPr>
        <w:t>以内。明确自然灾害风险重点防控区域，划定洪涝、地震、地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11"/>
        </w:rPr>
        <w:t>质灾害等风险控制线，落实战略性矿产资源、历史文化保护等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安全保障空间，全面锚固高质量发展的空间底线。</w:t>
      </w:r>
    </w:p>
    <w:p>
      <w:pPr>
        <w:pStyle w:val="BodyText"/>
        <w:ind w:firstLine="644"/>
        <w:spacing w:before="213" w:line="328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9"/>
        </w:rPr>
        <w:t>三、优化国土空间开发保护格局。</w:t>
      </w:r>
      <w:r>
        <w:rPr>
          <w:sz w:val="31"/>
          <w:szCs w:val="31"/>
          <w:spacing w:val="9"/>
        </w:rPr>
        <w:t>落实主体功能定位，统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11"/>
        </w:rPr>
        <w:t>筹农业、生态、城镇空间。完善农业空间布局，</w:t>
      </w:r>
      <w:r>
        <w:rPr>
          <w:sz w:val="31"/>
          <w:szCs w:val="31"/>
          <w:spacing w:val="10"/>
        </w:rPr>
        <w:t>严守耕地保护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0"/>
        </w:rPr>
        <w:t>红线，确保粮食安全。提升辽河源等重要地区生态功能，加强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11"/>
        </w:rPr>
        <w:t>瀑河、老哈河等重点流域生态保护修复，严格河湖</w:t>
      </w:r>
      <w:r>
        <w:rPr>
          <w:sz w:val="31"/>
          <w:szCs w:val="31"/>
          <w:spacing w:val="10"/>
        </w:rPr>
        <w:t>水域空间管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1"/>
        </w:rPr>
        <w:t>控，推进矿山综合治理，严格保护自然保护区、自然公园等自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10"/>
        </w:rPr>
        <w:t>然保护地，筑牢首都北部生态安全屏障。强化中心城区辐射带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10"/>
        </w:rPr>
        <w:t>动作用，构建分工合理、等级有序的镇村体系，因地制宜</w:t>
      </w:r>
      <w:r>
        <w:rPr>
          <w:sz w:val="31"/>
          <w:szCs w:val="31"/>
          <w:spacing w:val="9"/>
        </w:rPr>
        <w:t>分片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0"/>
        </w:rPr>
        <w:t>区分类型统筹村庄布局，推动城乡融合发展。严格管控城镇开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2"/>
        </w:rPr>
        <w:t>发边界，合理安排新增城镇建设用地，加大存量用地挖潜力度，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提高土地节约集约利用水平。</w:t>
      </w:r>
    </w:p>
    <w:p>
      <w:pPr>
        <w:pStyle w:val="BodyText"/>
        <w:ind w:right="81" w:firstLine="634"/>
        <w:spacing w:before="219" w:line="329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四、提升国土空间品质。</w:t>
      </w:r>
      <w:r>
        <w:rPr>
          <w:sz w:val="31"/>
          <w:szCs w:val="31"/>
          <w:spacing w:val="5"/>
        </w:rPr>
        <w:t>优化中心城区功能</w:t>
      </w:r>
      <w:r>
        <w:rPr>
          <w:sz w:val="31"/>
          <w:szCs w:val="31"/>
          <w:spacing w:val="4"/>
        </w:rPr>
        <w:t>结构和布局，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11"/>
        </w:rPr>
        <w:t>合理配置教育、文化、体育、医疗、养老等公共服</w:t>
      </w:r>
      <w:r>
        <w:rPr>
          <w:sz w:val="31"/>
          <w:szCs w:val="31"/>
          <w:spacing w:val="10"/>
        </w:rPr>
        <w:t>务设施，完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7"/>
        </w:rPr>
        <w:t>善城乡生活圈，提升城乡公共服务均衡性。依托山体、河流、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公园等开敞空间，构建蓝绿空间网络。稳步推进城市更新，推</w:t>
      </w:r>
      <w:r>
        <w:rPr>
          <w:sz w:val="31"/>
          <w:szCs w:val="31"/>
          <w:spacing w:val="16"/>
        </w:rPr>
        <w:t xml:space="preserve"> </w:t>
      </w:r>
      <w:r>
        <w:rPr>
          <w:sz w:val="31"/>
          <w:szCs w:val="31"/>
          <w:spacing w:val="8"/>
        </w:rPr>
        <w:t>动内涵式集约化绿色发展，改善城市人居环境，引导小城镇差</w:t>
      </w:r>
      <w:r>
        <w:rPr>
          <w:sz w:val="31"/>
          <w:szCs w:val="31"/>
          <w:spacing w:val="11"/>
        </w:rPr>
        <w:t xml:space="preserve"> </w:t>
      </w:r>
      <w:r>
        <w:rPr>
          <w:sz w:val="31"/>
          <w:szCs w:val="31"/>
          <w:spacing w:val="10"/>
        </w:rPr>
        <w:t>异化特色化发展，建设宜居宜业和美乡村。落实历史文化保护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8"/>
        </w:rPr>
        <w:t>线管理要求，加强各级文物保护单位、历史建筑等文化遗产的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空间保护，构建文化资源、自然资源、景观资源整体保护的空</w:t>
      </w:r>
    </w:p>
    <w:p>
      <w:pPr>
        <w:spacing w:line="220" w:lineRule="auto"/>
        <w:sectPr>
          <w:footerReference w:type="default" r:id="rId3"/>
          <w:pgSz w:w="11740" w:h="16620"/>
          <w:pgMar w:top="1412" w:right="1415" w:bottom="1027" w:left="1579" w:header="0" w:footer="724" w:gutter="0"/>
        </w:sectPr>
        <w:rPr>
          <w:sz w:val="31"/>
          <w:szCs w:val="31"/>
        </w:rPr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spacing w:before="101" w:line="222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间体系，塑造彰显地域特色的城乡风貌。</w:t>
      </w:r>
    </w:p>
    <w:p>
      <w:pPr>
        <w:pStyle w:val="BodyText"/>
        <w:ind w:firstLine="644"/>
        <w:spacing w:before="169" w:line="328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</w:rPr>
        <w:t>五、夯实安全韧性基础支撑。</w:t>
      </w:r>
      <w:r>
        <w:rPr>
          <w:sz w:val="31"/>
          <w:szCs w:val="31"/>
        </w:rPr>
        <w:t>强化与周边城市的交通联系，</w:t>
      </w:r>
      <w:r>
        <w:rPr>
          <w:sz w:val="31"/>
          <w:szCs w:val="31"/>
          <w:spacing w:val="7"/>
        </w:rPr>
        <w:t xml:space="preserve"> </w:t>
      </w:r>
      <w:r>
        <w:rPr>
          <w:sz w:val="31"/>
          <w:szCs w:val="31"/>
          <w:spacing w:val="11"/>
        </w:rPr>
        <w:t>构建各种交通方式相协调的综合交通体系。统筹经济发展和国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11"/>
        </w:rPr>
        <w:t>防建设需求，保障军事设施空间。健全公共</w:t>
      </w:r>
      <w:r>
        <w:rPr>
          <w:sz w:val="31"/>
          <w:szCs w:val="31"/>
          <w:spacing w:val="10"/>
        </w:rPr>
        <w:t>安全和综合防灾体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"/>
        </w:rPr>
        <w:t>系，严格落实抗震、地质灾害防治、防洪排涝等灾害防控要求，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增强城市安全韧性。做好重大区域基础设施的空间预留管控，</w:t>
      </w:r>
      <w:r>
        <w:rPr>
          <w:sz w:val="31"/>
          <w:szCs w:val="31"/>
        </w:rPr>
        <w:t xml:space="preserve">  </w:t>
      </w:r>
      <w:r>
        <w:rPr>
          <w:sz w:val="31"/>
          <w:szCs w:val="31"/>
          <w:spacing w:val="2"/>
        </w:rPr>
        <w:t>统筹传统和新型基础设施空间布局，构建现代化基础设施网络，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12"/>
        </w:rPr>
        <w:t>保障水、电、气、暖、通信、环境卫生等各类市政基础设施空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2"/>
        </w:rPr>
        <w:t>间，确保城市生命线稳定运行。加强矿产资源保障，推进风电、</w:t>
      </w:r>
    </w:p>
    <w:p>
      <w:pPr>
        <w:pStyle w:val="BodyText"/>
        <w:spacing w:before="1" w:line="221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水电、光伏等清洁能源重点项目建设。</w:t>
      </w:r>
    </w:p>
    <w:p>
      <w:pPr>
        <w:pStyle w:val="BodyText"/>
        <w:ind w:firstLine="644"/>
        <w:spacing w:before="209" w:line="328" w:lineRule="auto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0"/>
        </w:rPr>
        <w:t>六、维护规划严肃性权威性。</w:t>
      </w:r>
      <w:r>
        <w:rPr>
          <w:sz w:val="31"/>
          <w:szCs w:val="31"/>
          <w:spacing w:val="10"/>
        </w:rPr>
        <w:t>规划是对市域国土空</w:t>
      </w:r>
      <w:r>
        <w:rPr>
          <w:sz w:val="31"/>
          <w:szCs w:val="31"/>
          <w:spacing w:val="9"/>
        </w:rPr>
        <w:t>间作出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11"/>
        </w:rPr>
        <w:t>的全局安排，是国土空间保护、开发、利用、修复的政策和总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2"/>
        </w:rPr>
        <w:t>纲，必须严格执行，任何部门和个人不得随意修改、违规变更。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3"/>
        </w:rPr>
        <w:t>坚持“多规合一”,不在国土空间规划体系之外另设其他空间规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2"/>
        </w:rPr>
        <w:t>划。完善规划传导机制，下级规划要服从上级规划，专项规划、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2"/>
        </w:rPr>
        <w:t>详细规划要服从总体规划。按照定期体检和五年一评估的要求，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1"/>
        </w:rPr>
        <w:t>健全国土空间规划实施监测评估预警机制，将规划评估结</w:t>
      </w:r>
      <w:r>
        <w:rPr>
          <w:sz w:val="31"/>
          <w:szCs w:val="31"/>
          <w:spacing w:val="10"/>
        </w:rPr>
        <w:t>果作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为规划实施监督考核的重要依据。推动国土空间规划实施</w:t>
      </w:r>
      <w:r>
        <w:rPr>
          <w:sz w:val="31"/>
          <w:szCs w:val="31"/>
          <w:spacing w:val="8"/>
        </w:rPr>
        <w:t>监测</w:t>
      </w:r>
      <w:r>
        <w:rPr>
          <w:sz w:val="31"/>
          <w:szCs w:val="31"/>
          <w:spacing w:val="8"/>
        </w:rPr>
        <w:t xml:space="preserve"> </w:t>
      </w:r>
      <w:r>
        <w:rPr>
          <w:sz w:val="31"/>
          <w:szCs w:val="31"/>
          <w:spacing w:val="9"/>
        </w:rPr>
        <w:t>网络建设，建立健全规划监督、执法、问责联动机制，实施规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-2"/>
        </w:rPr>
        <w:t>划全生命周期管理。</w:t>
      </w:r>
    </w:p>
    <w:p>
      <w:pPr>
        <w:pStyle w:val="BodyText"/>
        <w:ind w:right="93" w:firstLine="644"/>
        <w:spacing w:before="249" w:line="324" w:lineRule="auto"/>
        <w:jc w:val="both"/>
        <w:rPr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9"/>
        </w:rPr>
        <w:t>七、强化规划实施保障。</w:t>
      </w:r>
      <w:r>
        <w:rPr>
          <w:sz w:val="31"/>
          <w:szCs w:val="31"/>
          <w:spacing w:val="9"/>
        </w:rPr>
        <w:t>你市要加强组织领导，切实履行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主体责任，完善国土空间规划委员会制度，明确责任分工，健</w:t>
      </w:r>
    </w:p>
    <w:p>
      <w:pPr>
        <w:pStyle w:val="BodyText"/>
        <w:spacing w:before="1" w:line="220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全工作机制，制定配套政策措施。做好规划印发和公开，强化</w:t>
      </w:r>
    </w:p>
    <w:p>
      <w:pPr>
        <w:spacing w:line="220" w:lineRule="auto"/>
        <w:sectPr>
          <w:footerReference w:type="default" r:id="rId4"/>
          <w:pgSz w:w="11740" w:h="16620"/>
          <w:pgMar w:top="1412" w:right="1404" w:bottom="987" w:left="1579" w:header="0" w:footer="679" w:gutter="0"/>
        </w:sectPr>
        <w:rPr>
          <w:sz w:val="31"/>
          <w:szCs w:val="31"/>
        </w:rPr>
      </w:pPr>
    </w:p>
    <w:p>
      <w:pPr>
        <w:spacing w:line="262" w:lineRule="auto"/>
        <w:rPr>
          <w:rFonts w:ascii="Arial"/>
          <w:sz w:val="21"/>
        </w:rPr>
      </w:pPr>
      <w:r>
        <w:pict>
          <v:shape id="_x0000_s4" style="position:absolute;margin-left:334.5pt;margin-top:377.514pt;mso-position-vertical-relative:page;mso-position-horizontal-relative:page;width:124.05pt;height:48.7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pStyle w:val="BodyText"/>
                    <w:ind w:left="29"/>
                    <w:spacing w:before="20" w:line="222" w:lineRule="auto"/>
                    <w:rPr>
                      <w:sz w:val="31"/>
                      <w:szCs w:val="31"/>
                    </w:rPr>
                  </w:pPr>
                  <w:r>
                    <w:rPr>
                      <w:sz w:val="31"/>
                      <w:szCs w:val="31"/>
                      <w:spacing w:val="9"/>
                    </w:rPr>
                    <w:t>承德市人民政府</w:t>
                  </w:r>
                </w:p>
                <w:p>
                  <w:pPr>
                    <w:pStyle w:val="BodyText"/>
                    <w:ind w:left="20"/>
                    <w:spacing w:before="187" w:line="222" w:lineRule="auto"/>
                    <w:rPr>
                      <w:sz w:val="31"/>
                      <w:szCs w:val="31"/>
                    </w:rPr>
                  </w:pPr>
                  <w:r>
                    <w:rPr>
                      <w:sz w:val="31"/>
                      <w:szCs w:val="31"/>
                      <w:spacing w:val="42"/>
                    </w:rPr>
                    <w:t>2024年3月21日</w:t>
                  </w:r>
                </w:p>
              </w:txbxContent>
            </v:textbox>
          </v:shape>
        </w:pict>
      </w: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20" w:right="146"/>
        <w:spacing w:before="101" w:line="327" w:lineRule="auto"/>
        <w:jc w:val="both"/>
        <w:rPr>
          <w:sz w:val="31"/>
          <w:szCs w:val="31"/>
        </w:rPr>
      </w:pPr>
      <w:r>
        <w:rPr>
          <w:sz w:val="31"/>
          <w:szCs w:val="31"/>
          <w:spacing w:val="11"/>
        </w:rPr>
        <w:t>社会监督。组织完成乡镇国土空间总体规划、详细规划、相关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-1"/>
        </w:rPr>
        <w:t>专项规划编制工作，形成“多规合一”的国土空间规划体系，统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10"/>
        </w:rPr>
        <w:t>筹国土空间开发保护。强化对涉及空间利用专项规划的指导约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-1"/>
        </w:rPr>
        <w:t>束，在国土空间规划“一张图”上协调解决矛盾问题，合理优化</w:t>
      </w:r>
    </w:p>
    <w:p>
      <w:pPr>
        <w:pStyle w:val="BodyText"/>
        <w:ind w:left="20"/>
        <w:spacing w:line="220" w:lineRule="auto"/>
        <w:rPr>
          <w:sz w:val="31"/>
          <w:szCs w:val="31"/>
        </w:rPr>
      </w:pPr>
      <w:r>
        <w:rPr>
          <w:sz w:val="31"/>
          <w:szCs w:val="31"/>
          <w:spacing w:val="3"/>
        </w:rPr>
        <w:t>空间布局。规划实施中的重大事项要逐级请示报告。</w:t>
      </w:r>
    </w:p>
    <w:p>
      <w:pPr>
        <w:pStyle w:val="BodyText"/>
        <w:ind w:left="640"/>
        <w:spacing w:before="225" w:line="223" w:lineRule="auto"/>
        <w:rPr>
          <w:sz w:val="31"/>
          <w:szCs w:val="31"/>
        </w:rPr>
      </w:pPr>
      <w:r>
        <w:rPr>
          <w:sz w:val="31"/>
          <w:szCs w:val="31"/>
          <w:spacing w:val="-1"/>
        </w:rPr>
        <w:t>特此批复。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5030"/>
        <w:spacing w:line="2550" w:lineRule="exact"/>
        <w:rPr/>
      </w:pPr>
      <w:r>
        <w:rPr>
          <w:position w:val="-50"/>
        </w:rPr>
        <w:drawing>
          <wp:inline distT="0" distB="0" distL="0" distR="0">
            <wp:extent cx="1619278" cy="161919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278" cy="16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8840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559"/>
        <w:gridCol w:w="4281"/>
      </w:tblGrid>
      <w:tr>
        <w:trPr>
          <w:trHeight w:val="590" w:hRule="atLeast"/>
        </w:trPr>
        <w:tc>
          <w:tcPr>
            <w:tcW w:w="8840" w:type="dxa"/>
            <w:vAlign w:val="top"/>
            <w:gridSpan w:val="2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20"/>
              <w:spacing w:before="23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-1"/>
              </w:rPr>
              <w:t>抄送：承德市自然资源和规划局。</w:t>
            </w:r>
          </w:p>
        </w:tc>
      </w:tr>
      <w:tr>
        <w:trPr>
          <w:trHeight w:val="580" w:hRule="atLeast"/>
        </w:trPr>
        <w:tc>
          <w:tcPr>
            <w:tcW w:w="4559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10"/>
              <w:spacing w:before="155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1"/>
              </w:rPr>
              <w:t>承德市人民政府办公室</w:t>
            </w:r>
          </w:p>
        </w:tc>
        <w:tc>
          <w:tcPr>
            <w:tcW w:w="428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441"/>
              <w:spacing w:before="157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</w:rPr>
              <w:t>2024年3月21日印发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740" w:h="16640"/>
      <w:pgMar w:top="1414" w:right="1309" w:bottom="400" w:left="158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49" w:lineRule="exact"/>
      <w:rPr>
        <w:rFonts w:ascii="Arial"/>
        <w:sz w:val="4"/>
      </w:rPr>
    </w:pPr>
    <w:r>
      <w:pict>
        <v:rect id="_x0000_s2" style="position:absolute;margin-left:65.4973pt;margin-top:786.5pt;mso-position-vertical-relative:page;mso-position-horizontal-relative:page;width:452.55pt;height:3pt;z-index:251658240;" o:allowincell="f" fillcolor="#00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4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"/>
      </w:rPr>
      <w:t>—2  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70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4"/>
      <w:szCs w:val="3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2024-04-22T14:47:31Z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2024-04-22T14:47:31</vt:filetime>
  </property>
  <property fmtid="{D5CDD505-2E9C-101B-9397-08002B2CF9AE}" pid="4" name="UsrData">
    <vt:lpwstr>662607f432f31f001f4ee3abwl</vt:lpwstr>
  </property>
</Properties>
</file>